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4B" w:rsidRPr="0039724B" w:rsidRDefault="0039724B" w:rsidP="0039724B">
      <w:pPr>
        <w:shd w:val="clear" w:color="auto" w:fill="FFFFFF"/>
        <w:spacing w:after="0" w:line="240" w:lineRule="auto"/>
        <w:textAlignment w:val="center"/>
        <w:outlineLvl w:val="0"/>
        <w:rPr>
          <w:rFonts w:ascii="Tahoma" w:eastAsia="Times New Roman" w:hAnsi="Tahoma" w:cs="Tahoma"/>
          <w:color w:val="3A3A3A"/>
          <w:kern w:val="36"/>
          <w:sz w:val="30"/>
          <w:szCs w:val="30"/>
          <w:lang w:eastAsia="ru-RU"/>
        </w:rPr>
      </w:pPr>
      <w:r w:rsidRPr="0039724B">
        <w:rPr>
          <w:rFonts w:ascii="Tahoma" w:eastAsia="Times New Roman" w:hAnsi="Tahoma" w:cs="Tahoma"/>
          <w:color w:val="3A3A3A"/>
          <w:kern w:val="36"/>
          <w:sz w:val="30"/>
          <w:szCs w:val="30"/>
          <w:lang w:eastAsia="ru-RU"/>
        </w:rPr>
        <w:t>Особенности выполнения отдельных тестов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Методики выполнения анализов и представление результатов в разных лабораториях несколько различаются. В этом разделе представлена информация о некоторых особенностях лабораторной практики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. Есть несколько тестов, где важно эти отличия учитывать.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Тест «LIH» (определение степени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липемии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,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иктеричности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или гемолиза образца крови)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Лабораторной службе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повышенное внимание уделяется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преаналитическим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процедурам. Как известно, именно на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преаналитическом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этапе допускается большинство ошибок, которые могут привести к получению недостоверных результатов исследований. К наиболее частым последствиям таких ошибок относится гемолиз образца крови. Нередки ситуации, когда пациент нарушает правила подготовки к сдаче анализов и в его крови повышается содержание </w:t>
      </w: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липидов</w:t>
      </w: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или </w:t>
      </w: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билирубина</w:t>
      </w: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. Кроме того, повышение двух последних показателей может быть следствием некоторых заболеваний пациента. Повышенная концентрация </w:t>
      </w: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гемоглобина</w:t>
      </w: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(гемолиз), билирубина (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иктеричность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) или триглицеридов (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липемия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) в образце крови может стать причиной получения недостоверных результатов некоторых лабораторных исследований.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Особенно это касается биохимических показателей, показателей системы гемостаза, анализов методом ПЦР, а также некоторых серологических маркеров. 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[02-014] (здесь и далее: номер анализа в каталоге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Хеликс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) Общий анализ крови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[02-025] Лейкоцитарная формула </w:t>
      </w:r>
      <w:bookmarkStart w:id="0" w:name="_GoBack"/>
      <w:bookmarkEnd w:id="0"/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Общий анализ крови (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Compete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Blood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Count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) в Лабораторной службе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включает в себя восемь основных показателей: общее количество эритроцитов, лейкоцитов, тромбоцитов, гемоглобина,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эритроцитарные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индексы (MCV, MCH, MCHC) и гематокрит.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 лейкоцитарную формулу входит общее количество лейкоцитов, а также абсолютное (*10</w:t>
      </w:r>
      <w:r w:rsidRPr="0039724B">
        <w:rPr>
          <w:rFonts w:ascii="Tahoma" w:eastAsia="Times New Roman" w:hAnsi="Tahoma" w:cs="Tahoma"/>
          <w:color w:val="3A3A3A"/>
          <w:sz w:val="20"/>
          <w:szCs w:val="20"/>
          <w:vertAlign w:val="superscript"/>
          <w:lang w:eastAsia="ru-RU"/>
        </w:rPr>
        <w:t>9</w:t>
      </w: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) и относительное (%) количество их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субпопуляций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: нейтрофилов, лимфоцитов, моноцитов, эозинофилов и базофилов.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 одновременном заказе обоих анализов в результатах, помимо вышеуказанных показателей, будут дополнительно представлены следующие показатели:</w:t>
      </w:r>
    </w:p>
    <w:p w:rsidR="0039724B" w:rsidRPr="0039724B" w:rsidRDefault="0039724B" w:rsidP="003972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стандартное отклонение эритроцитов по объему (RDW-SD)</w:t>
      </w:r>
    </w:p>
    <w:p w:rsidR="0039724B" w:rsidRPr="0039724B" w:rsidRDefault="0039724B" w:rsidP="003972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коэффициент вариации эритроцитов по объему (RDW-CV)</w:t>
      </w:r>
    </w:p>
    <w:p w:rsidR="0039724B" w:rsidRPr="0039724B" w:rsidRDefault="0039724B" w:rsidP="003972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распределение тромбоцитов по объему (PWD)</w:t>
      </w:r>
    </w:p>
    <w:p w:rsidR="0039724B" w:rsidRPr="0039724B" w:rsidRDefault="0039724B" w:rsidP="003972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средний объем тромбоцита (MPW)</w:t>
      </w:r>
    </w:p>
    <w:p w:rsidR="0039724B" w:rsidRPr="0039724B" w:rsidRDefault="0039724B" w:rsidP="003972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коэффициент больших тромбоцитов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hyperlink r:id="rId5" w:tgtFrame="_blank" w:history="1"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Общий анализ крови</w:t>
        </w:r>
      </w:hyperlink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и </w:t>
      </w:r>
      <w:hyperlink r:id="rId6" w:tgtFrame="_blank" w:history="1"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лейкоцитарная формула</w:t>
        </w:r>
      </w:hyperlink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выполняются на автоматических анализаторах XN-2000,</w:t>
      </w: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XT-4000i и SYSMEX XT-2000i (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Sysmex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Япония). При получении нормальных результатов и отсутствии сообщений анализатора о возможном наличии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микросгустков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 пробе крови или других факторов, способных влиять на результат исследования – микроскопическое исследование мазка крови не проводится. При наличии отклонений от нормы, представленных в таблице 1, в Лабораторной службе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проводится микроскопическое исследование мазка крови с ручным подсчетом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субпопуляций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лейкоцитов (в том числе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палочкоядерных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сегментоядерных нейтрофилов) и патологических форм клеточных элементов крови (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бластов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атипичных лимфоцитов и др.)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Таблица 1. Критерии выполнения микроскопии в рамках общеклинического анализа крови.</w:t>
      </w:r>
    </w:p>
    <w:tbl>
      <w:tblPr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438"/>
        <w:gridCol w:w="39"/>
        <w:gridCol w:w="864"/>
        <w:gridCol w:w="72"/>
        <w:gridCol w:w="794"/>
        <w:gridCol w:w="76"/>
        <w:gridCol w:w="914"/>
        <w:gridCol w:w="1803"/>
        <w:gridCol w:w="1840"/>
        <w:gridCol w:w="3962"/>
      </w:tblGrid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97" w:type="dxa"/>
            <w:gridSpan w:val="7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 (годы)</w:t>
            </w:r>
          </w:p>
        </w:tc>
        <w:tc>
          <w:tcPr>
            <w:tcW w:w="180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84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96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действия</w:t>
            </w: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38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90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66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0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0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старше</w:t>
            </w:r>
          </w:p>
        </w:tc>
        <w:tc>
          <w:tcPr>
            <w:tcW w:w="184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старше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Гемоглобин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(г/л)</w:t>
            </w:r>
          </w:p>
        </w:tc>
        <w:tc>
          <w:tcPr>
            <w:tcW w:w="4197" w:type="dxa"/>
            <w:gridSpan w:val="7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&lt;70</w:t>
            </w:r>
          </w:p>
        </w:tc>
        <w:tc>
          <w:tcPr>
            <w:tcW w:w="180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&lt;70</w:t>
            </w:r>
          </w:p>
        </w:tc>
        <w:tc>
          <w:tcPr>
            <w:tcW w:w="184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&lt;70</w:t>
            </w:r>
          </w:p>
        </w:tc>
        <w:tc>
          <w:tcPr>
            <w:tcW w:w="396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Повторная постановка на анализаторе без микроскопии</w:t>
            </w: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Лейкоциты (×10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40" w:type="dxa"/>
            <w:gridSpan w:val="9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&lt;3.5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&gt;12.0</w:t>
            </w:r>
          </w:p>
        </w:tc>
        <w:tc>
          <w:tcPr>
            <w:tcW w:w="396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Микроскопия мазка с подсчетом лейкоцитарной формулы</w:t>
            </w: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Нейтрофилы (%)</w:t>
            </w:r>
          </w:p>
        </w:tc>
        <w:tc>
          <w:tcPr>
            <w:tcW w:w="1477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&gt;45</w:t>
            </w:r>
          </w:p>
        </w:tc>
        <w:tc>
          <w:tcPr>
            <w:tcW w:w="936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&gt;55</w:t>
            </w:r>
          </w:p>
        </w:tc>
        <w:tc>
          <w:tcPr>
            <w:tcW w:w="870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&gt;60</w:t>
            </w:r>
          </w:p>
        </w:tc>
        <w:tc>
          <w:tcPr>
            <w:tcW w:w="91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&gt;70</w:t>
            </w:r>
          </w:p>
        </w:tc>
        <w:tc>
          <w:tcPr>
            <w:tcW w:w="364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&gt;75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gridSpan w:val="7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77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936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784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&gt;10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Лимфоциты ×10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477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&gt;12</w:t>
            </w:r>
          </w:p>
        </w:tc>
        <w:tc>
          <w:tcPr>
            <w:tcW w:w="936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&gt;8.5</w:t>
            </w:r>
          </w:p>
        </w:tc>
        <w:tc>
          <w:tcPr>
            <w:tcW w:w="1784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&gt;7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Лимфоциты (%)</w:t>
            </w:r>
          </w:p>
        </w:tc>
        <w:tc>
          <w:tcPr>
            <w:tcW w:w="1477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&gt;80</w:t>
            </w:r>
          </w:p>
        </w:tc>
        <w:tc>
          <w:tcPr>
            <w:tcW w:w="936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&gt;70</w:t>
            </w:r>
          </w:p>
        </w:tc>
        <w:tc>
          <w:tcPr>
            <w:tcW w:w="1784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&gt;60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Моноциты ×10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7840" w:type="dxa"/>
            <w:gridSpan w:val="9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&gt;1.5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Базофилы ×10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7840" w:type="dxa"/>
            <w:gridSpan w:val="9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&gt;0.1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Базофилы (%)</w:t>
            </w:r>
          </w:p>
        </w:tc>
        <w:tc>
          <w:tcPr>
            <w:tcW w:w="7840" w:type="dxa"/>
            <w:gridSpan w:val="9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&gt;3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4B" w:rsidRPr="0039724B" w:rsidTr="0039724B">
        <w:tc>
          <w:tcPr>
            <w:tcW w:w="2283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Тромбоциты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(×10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12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Тромбоцитопения</w:t>
            </w:r>
          </w:p>
        </w:tc>
        <w:tc>
          <w:tcPr>
            <w:tcW w:w="4197" w:type="dxa"/>
            <w:gridSpan w:val="7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&lt;150</w:t>
            </w:r>
          </w:p>
        </w:tc>
        <w:tc>
          <w:tcPr>
            <w:tcW w:w="3643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&lt;120</w:t>
            </w:r>
          </w:p>
        </w:tc>
        <w:tc>
          <w:tcPr>
            <w:tcW w:w="396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пробы на наличие сгустка и обзорная микроскопия мазка</w:t>
            </w:r>
          </w:p>
        </w:tc>
      </w:tr>
      <w:tr w:rsidR="0039724B" w:rsidRPr="0039724B" w:rsidTr="0039724B">
        <w:tc>
          <w:tcPr>
            <w:tcW w:w="2283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2" w:type="dxa"/>
            <w:gridSpan w:val="10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результату необходимых действий: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сгусток не обнаружен, при обзорной микроскопии присутствует тромбоцитопения – в комментарии указать: </w:t>
            </w:r>
            <w:r w:rsidRPr="00397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«Тромбоцитопения»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сгусток не обнаружен, при обзорной микроскопии видим агрегацию тромбоцитов – выбрать шаблонный ответ: </w:t>
            </w: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а[59] </w:t>
            </w:r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397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397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Агрегация тромбоцитов. Рекомендуется повторить исследование для уточнения количества тромбоцитов»</w:t>
            </w: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сгусток обнаружен – проба отменяется</w:t>
            </w:r>
          </w:p>
        </w:tc>
      </w:tr>
      <w:tr w:rsidR="0039724B" w:rsidRPr="0039724B" w:rsidTr="0039724B">
        <w:tc>
          <w:tcPr>
            <w:tcW w:w="228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Флаги: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бласты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незрелые гранулоциты,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атипичные лимфоциты</w:t>
            </w:r>
          </w:p>
        </w:tc>
        <w:tc>
          <w:tcPr>
            <w:tcW w:w="11802" w:type="dxa"/>
            <w:gridSpan w:val="10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при наличии флагов: незрелые гранулоциты, атипичные лимфоциты и при отсутствии изменений в показателях крови в распечатке с анализатора мазок крови не делать;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при наличии флагов: незрелые гранулоциты, атипичные лимфоциты и при наличии изменений в показателях крови в распечатке с анализатора решение о микроскопии принимается индивидуально врачом КДЛ;</w:t>
            </w:r>
          </w:p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при наличии всех остальных флагов выполняется микроскопия мазка</w:t>
            </w:r>
          </w:p>
        </w:tc>
      </w:tr>
    </w:tbl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br/>
        <w:t xml:space="preserve">[07-032] HIV 1,2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Ag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/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Ab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Combo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(определение антител к ВИЧ типов 1 и 2 и антигена p24)</w:t>
      </w: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[07-100] Антитела к ВИЧ типов 1 и 2 (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Anti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-HIV), ИФА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Исследование для выявления антител (антигена p24) к ВИЧ выполняется в соответствии с требованиями российского законодательства (в том числе Санитарно-эпидемиологических правил СП 3.1.5.2826-10 "Профилактика ВИЧ-инфекции"). Проводится тройной контроль полученных положительных, либо сомнительных результатов исследований, с подтверждением таких результатов в экспертной лаборатории методом иммунного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блотинга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Следует отметить, что исследование 07-032 проводится высокоспецифичным и высокочувствительным методом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электрохемилюминесценции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на автоматическом анализаторе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Cobas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8000 (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Roche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Diagnostics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Швейцария). При получении положительного или сомнительного результата проводятся дополнительные постановки данного исследования. После чего проба направляется в федеральную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референс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-лабораторию, где происходит подтверждение результата экспертной методикой.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бланках с результатами, помимо необходимых паспортных данных пациента, отражаются все произведенные постановки, а также названия, серии используемых в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тест систем и их срок годности. 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[07-101] 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Anti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-HCV, антитела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Исследование выполняется методом планшетного ИФА. При получении положительного, либо сомнительного результата исследования дополнительно, с целью подтверждения результата, бесплатно выполняется дополнительное подтверждающее исследование.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[08-122] Пролактин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При концентрации пролактина выше 750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мкМЕ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/мл пациенту дополнительно бесплатно выполняется анализ </w:t>
      </w:r>
      <w:hyperlink r:id="rId7" w:tgtFrame="_blank" w:history="1"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 xml:space="preserve">08-121 – </w:t>
        </w:r>
        <w:proofErr w:type="spellStart"/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Макропролактин</w:t>
        </w:r>
        <w:proofErr w:type="spellEnd"/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.</w:t>
        </w:r>
      </w:hyperlink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[07-044] 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Toxoplasma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gondii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,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IgG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(количественно)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[07-046] 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Toxoplasma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gondii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,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IgM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(количественно)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При положительных результатах обоих тестов дополнительно бесплатно пациенту выполняется исследование на степень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авидности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антител класса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IgG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к токсоплазме.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[07-017] 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Cytomegalovirus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,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IgG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(количественно)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[07-018] 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Cytomegalovirus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, </w:t>
      </w:r>
      <w:proofErr w:type="spellStart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IgM</w:t>
      </w:r>
      <w:proofErr w:type="spellEnd"/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(количественно)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При положительных результатах обоих тестов дополнительно бесплатно пациенту выполняется исследование на степень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авидности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антител класса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IgG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к </w:t>
      </w:r>
      <w:proofErr w:type="spellStart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цитомегаловирусу</w:t>
      </w:r>
      <w:proofErr w:type="spellEnd"/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.</w:t>
      </w:r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[02-006] Общий анализ мочи с микроскопией осадка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 обнаружении в моче белка в концентрации, превышающей допустимую норму, пациенту бесплатно выполняется количественное определение обнаруженного белка с помощью исследования </w:t>
      </w:r>
      <w:hyperlink r:id="rId8" w:tgtFrame="_blank" w:history="1"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[06-038] Белок общий в моче</w:t>
        </w:r>
      </w:hyperlink>
      <w:hyperlink r:id="rId9" w:tgtFrame="_blank" w:history="1">
        <w:r w:rsidRPr="0039724B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.</w:t>
        </w:r>
      </w:hyperlink>
    </w:p>
    <w:p w:rsidR="0039724B" w:rsidRPr="0039724B" w:rsidRDefault="0039724B" w:rsidP="0039724B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39724B" w:rsidRPr="0039724B" w:rsidRDefault="0039724B" w:rsidP="00397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9724B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  <w:r w:rsidRPr="0039724B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Особенности выполнения микробиологических исследований</w:t>
      </w:r>
    </w:p>
    <w:tbl>
      <w:tblPr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893"/>
        <w:gridCol w:w="5212"/>
      </w:tblGrid>
      <w:tr w:rsidR="0039724B" w:rsidRPr="0039724B" w:rsidTr="0039724B">
        <w:tc>
          <w:tcPr>
            <w:tcW w:w="6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HXID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исследования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выполнения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10-038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клинического материала на анализаторе VITEK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bioMerieux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(определение МИК)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10-040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Дисбактериоз кишечника без определения чувствительности к антибиотикам и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бактериофа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(определение КОЕ/г)</w:t>
            </w:r>
          </w:p>
        </w:tc>
      </w:tr>
      <w:tr w:rsidR="0039724B" w:rsidRPr="0039724B" w:rsidTr="0039724B">
        <w:trPr>
          <w:trHeight w:val="822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10-008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 кишечника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(определение КОЕ/г)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Дисбактериоз кишечника с определением чувствительности к антибиотикам и бактериофаг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(определение КОЕ/г)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10-039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 кишечника с определением чувствительности к бактериофагам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(определение КОЕ/г)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(определение КОЕ/г)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 слизистой. Выделение чистой культуры и определение чувствительности к антимикотическим препаратам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./дрожжеподобные грибы с подбором антимикотических препаратов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10-057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патогенную флору (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группа и </w:t>
            </w:r>
            <w:proofErr w:type="spellStart"/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-паратифозная</w:t>
            </w:r>
            <w:proofErr w:type="gram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 без определения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патогенную флору (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паратифозная группы) с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кала на патогенные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10-056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условно- патогенную флору без определения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условно- патогенную флору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клинического материала на анаэробную флору с определением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чувствительности&amp;nb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sp;к</w:t>
            </w:r>
            <w:proofErr w:type="spellEnd"/>
            <w:proofErr w:type="gram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10-047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крови и ликвора на стерильность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</w:t>
            </w: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Bordetella pertussis/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parapertussis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10-050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Campylobacter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 + определение чувствительности к антибиотикам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10-048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титра и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титра и чувствительности </w:t>
            </w:r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ант</w:t>
            </w:r>
            <w:proofErr w:type="gram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ибиотикам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10-007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титра и чувствительности </w:t>
            </w:r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ант</w:t>
            </w:r>
            <w:proofErr w:type="gram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ибиотикам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10-009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гемолитический стрептококк группы 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10-010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дифтерию (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Corynebacterium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diphtheriae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золотистый стафилококк (S.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золотистый стафилококк (S.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(есть/нет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10-037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флору без определения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флору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флору с определением чувствительности к антибиотикам (содержимое желудка)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10-049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флору с определением чувствительности к антибиотикам и бактериофагам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флору с определением чувствительности к бактериофагам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раны на анаэробную флору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10-058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отделяемого раны на флору без определения чувствительности </w:t>
            </w:r>
            <w:proofErr w:type="gram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антибиотика</w:t>
            </w:r>
            <w:proofErr w:type="gram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раны на флору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содержимого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на анаэробную микрофлору без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содержимого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на анаэробную микрофлору с определением чу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вствит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содержимого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на аэробную микрофлору без определения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содержимого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на аэробную микрофлору с определением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антибиотикам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золотистый стафилококк (S.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определения чувствительности к антибиотикам, количественно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  <w:tr w:rsidR="0039724B" w:rsidRPr="0039724B" w:rsidTr="0039724B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золотистый стафилококк (S. </w:t>
            </w:r>
            <w:proofErr w:type="spellStart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определением чувствительности к антибиотикам, количественно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724B" w:rsidRPr="0039724B" w:rsidRDefault="0039724B" w:rsidP="003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 (степень роста)</w:t>
            </w:r>
          </w:p>
        </w:tc>
      </w:tr>
    </w:tbl>
    <w:p w:rsidR="00B55781" w:rsidRDefault="00B55781"/>
    <w:sectPr w:rsidR="00B5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B43"/>
    <w:multiLevelType w:val="multilevel"/>
    <w:tmpl w:val="D4E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B"/>
    <w:rsid w:val="0039724B"/>
    <w:rsid w:val="00B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5D8D-CEB3-4ABE-A6F5-DA8FC6E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</w:div>
        <w:div w:id="79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x.ru/catalog/item/06-0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ix.ru/catalog/item/08-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ix.ru/catalog/item/02-0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lix.ru/catalog/item/02-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ix.ru/catalog/item/06-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1827</Words>
  <Characters>10417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2017-05-05T12:17:00Z</dcterms:created>
  <dcterms:modified xsi:type="dcterms:W3CDTF">2017-05-05T12:19:00Z</dcterms:modified>
</cp:coreProperties>
</file>